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4" w:line="222" w:lineRule="auto"/>
      </w:pPr>
      <w:r>
        <w:rPr>
          <w:spacing w:val="-3"/>
        </w:rPr>
        <w:t>附件一：</w:t>
      </w:r>
    </w:p>
    <w:p>
      <w:pPr>
        <w:pStyle w:val="2"/>
        <w:spacing w:before="59" w:line="222" w:lineRule="auto"/>
        <w:ind w:left="1741"/>
        <w:rPr>
          <w:sz w:val="46"/>
          <w:szCs w:val="46"/>
        </w:rPr>
      </w:pPr>
      <w:bookmarkStart w:id="0" w:name="_GoBack"/>
      <w:bookmarkEnd w:id="0"/>
      <w:r>
        <w:rPr>
          <w:b/>
          <w:bCs/>
          <w:spacing w:val="10"/>
          <w:sz w:val="46"/>
          <w:szCs w:val="46"/>
        </w:rPr>
        <w:t>承租人评审因素表(满分100分)</w:t>
      </w:r>
    </w:p>
    <w:p>
      <w:pPr>
        <w:spacing w:before="14"/>
      </w:pPr>
    </w:p>
    <w:tbl>
      <w:tblPr>
        <w:tblStyle w:val="6"/>
        <w:tblW w:w="100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488"/>
        <w:gridCol w:w="6254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393" w:type="dxa"/>
            <w:vAlign w:val="top"/>
          </w:tcPr>
          <w:p>
            <w:pPr>
              <w:pStyle w:val="5"/>
              <w:spacing w:before="142" w:line="220" w:lineRule="auto"/>
              <w:ind w:left="188"/>
            </w:pPr>
            <w:r>
              <w:rPr>
                <w:b/>
                <w:bCs/>
                <w:spacing w:val="7"/>
              </w:rPr>
              <w:t>评分项目</w:t>
            </w:r>
          </w:p>
        </w:tc>
        <w:tc>
          <w:tcPr>
            <w:tcW w:w="1488" w:type="dxa"/>
            <w:vAlign w:val="top"/>
          </w:tcPr>
          <w:p>
            <w:pPr>
              <w:pStyle w:val="5"/>
              <w:spacing w:before="142" w:line="220" w:lineRule="auto"/>
              <w:ind w:left="235"/>
            </w:pPr>
            <w:r>
              <w:rPr>
                <w:b/>
                <w:bCs/>
                <w:spacing w:val="-5"/>
              </w:rPr>
              <w:t>评分子项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42" w:line="220" w:lineRule="auto"/>
              <w:ind w:left="2657"/>
            </w:pPr>
            <w:r>
              <w:rPr>
                <w:b/>
                <w:bCs/>
                <w:spacing w:val="1"/>
              </w:rPr>
              <w:t>评分细则</w:t>
            </w:r>
          </w:p>
        </w:tc>
        <w:tc>
          <w:tcPr>
            <w:tcW w:w="894" w:type="dxa"/>
            <w:vAlign w:val="top"/>
          </w:tcPr>
          <w:p>
            <w:pPr>
              <w:pStyle w:val="5"/>
              <w:spacing w:before="141" w:line="219" w:lineRule="auto"/>
              <w:ind w:left="213"/>
            </w:pPr>
            <w:r>
              <w:rPr>
                <w:b/>
                <w:bCs/>
                <w:spacing w:val="-6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1393" w:type="dxa"/>
            <w:vAlign w:val="top"/>
          </w:tcPr>
          <w:p>
            <w:pPr>
              <w:pStyle w:val="5"/>
              <w:spacing w:before="229" w:line="218" w:lineRule="auto"/>
              <w:ind w:left="185"/>
            </w:pPr>
            <w:r>
              <w:rPr>
                <w:spacing w:val="2"/>
              </w:rPr>
              <w:t>价格部分</w:t>
            </w:r>
          </w:p>
          <w:p>
            <w:pPr>
              <w:pStyle w:val="5"/>
              <w:spacing w:before="67" w:line="220" w:lineRule="auto"/>
              <w:ind w:left="314"/>
            </w:pPr>
            <w:r>
              <w:rPr>
                <w:spacing w:val="10"/>
              </w:rPr>
              <w:t>(60分)</w:t>
            </w:r>
          </w:p>
        </w:tc>
        <w:tc>
          <w:tcPr>
            <w:tcW w:w="1488" w:type="dxa"/>
            <w:vAlign w:val="top"/>
          </w:tcPr>
          <w:p>
            <w:pPr>
              <w:pStyle w:val="5"/>
              <w:spacing w:before="269" w:line="218" w:lineRule="auto"/>
              <w:ind w:left="361" w:right="311" w:firstLine="120"/>
            </w:pPr>
            <w:r>
              <w:rPr>
                <w:spacing w:val="5"/>
              </w:rPr>
              <w:t>价格</w:t>
            </w:r>
            <w:r>
              <w:t xml:space="preserve">  </w:t>
            </w:r>
            <w:r>
              <w:rPr>
                <w:spacing w:val="10"/>
              </w:rPr>
              <w:t>(60分)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00" w:line="220" w:lineRule="auto"/>
              <w:ind w:left="113" w:hanging="9"/>
              <w:jc w:val="both"/>
            </w:pPr>
            <w:r>
              <w:rPr>
                <w:spacing w:val="-5"/>
              </w:rPr>
              <w:t>最后价格最高的报价为基准价，其价格分为满分。其他承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租人的报价得分=(基准价/该承租人经评审的最后报价)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×60(报价函详见附件二)。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atLeast"/>
          <w:jc w:val="center"/>
        </w:trPr>
        <w:tc>
          <w:tcPr>
            <w:tcW w:w="1393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2" w:line="219" w:lineRule="auto"/>
              <w:ind w:left="185"/>
            </w:pPr>
            <w:r>
              <w:rPr>
                <w:spacing w:val="2"/>
              </w:rPr>
              <w:t>商务技术</w:t>
            </w:r>
          </w:p>
          <w:p>
            <w:pPr>
              <w:pStyle w:val="5"/>
              <w:spacing w:before="73" w:line="219" w:lineRule="auto"/>
              <w:ind w:left="434"/>
            </w:pPr>
            <w:r>
              <w:rPr>
                <w:spacing w:val="5"/>
              </w:rPr>
              <w:t>部分</w:t>
            </w:r>
          </w:p>
          <w:p>
            <w:pPr>
              <w:pStyle w:val="5"/>
              <w:spacing w:before="63" w:line="220" w:lineRule="auto"/>
              <w:ind w:left="314"/>
            </w:pPr>
            <w:r>
              <w:rPr>
                <w:spacing w:val="10"/>
              </w:rPr>
              <w:t>(40分)</w:t>
            </w:r>
          </w:p>
        </w:tc>
        <w:tc>
          <w:tcPr>
            <w:tcW w:w="148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24" w:lineRule="auto"/>
              <w:ind w:left="351" w:right="235" w:hanging="120"/>
            </w:pPr>
            <w:r>
              <w:rPr>
                <w:spacing w:val="2"/>
              </w:rPr>
              <w:t>资质情况</w:t>
            </w:r>
            <w:r>
              <w:rPr>
                <w:spacing w:val="1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-28"/>
              </w:rPr>
              <w:t xml:space="preserve"> </w:t>
            </w:r>
            <w:r>
              <w:rPr>
                <w:spacing w:val="-21"/>
              </w:rPr>
              <w:t>5</w:t>
            </w:r>
            <w:r>
              <w:rPr>
                <w:spacing w:val="-31"/>
              </w:rPr>
              <w:t xml:space="preserve"> </w:t>
            </w:r>
            <w:r>
              <w:rPr>
                <w:spacing w:val="-21"/>
              </w:rPr>
              <w:t>分</w:t>
            </w:r>
            <w:r>
              <w:rPr>
                <w:spacing w:val="-33"/>
              </w:rPr>
              <w:t xml:space="preserve"> </w:t>
            </w:r>
            <w:r>
              <w:rPr>
                <w:spacing w:val="-21"/>
              </w:rPr>
              <w:t>)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60" w:line="203" w:lineRule="auto"/>
              <w:ind w:left="114" w:firstLine="89"/>
            </w:pPr>
            <w:r>
              <w:rPr>
                <w:spacing w:val="-4"/>
              </w:rPr>
              <w:t>(1)企业成立满三年，并提供有效的工商注册登记证明得</w:t>
            </w:r>
            <w:r>
              <w:rPr>
                <w:spacing w:val="18"/>
              </w:rPr>
              <w:t xml:space="preserve"> </w:t>
            </w:r>
            <w:r>
              <w:rPr>
                <w:spacing w:val="12"/>
              </w:rPr>
              <w:t>1分，否则不得分；</w:t>
            </w:r>
          </w:p>
          <w:p>
            <w:pPr>
              <w:pStyle w:val="5"/>
              <w:spacing w:before="1" w:line="214" w:lineRule="auto"/>
              <w:ind w:left="114" w:firstLine="79"/>
            </w:pPr>
            <w:r>
              <w:rPr>
                <w:spacing w:val="-3"/>
              </w:rPr>
              <w:t>(2)提供法定代表人的身份证明文件，个人信用报告的得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2分，否则不得分；</w:t>
            </w:r>
          </w:p>
          <w:p>
            <w:pPr>
              <w:pStyle w:val="5"/>
              <w:spacing w:line="199" w:lineRule="auto"/>
              <w:ind w:left="114"/>
            </w:pPr>
            <w:r>
              <w:rPr>
                <w:spacing w:val="5"/>
              </w:rPr>
              <w:t>(3)能够提供近三年财务报表的得1分，否则不得</w:t>
            </w:r>
            <w:r>
              <w:rPr>
                <w:spacing w:val="4"/>
              </w:rPr>
              <w:t>分；</w:t>
            </w:r>
          </w:p>
          <w:p>
            <w:pPr>
              <w:pStyle w:val="5"/>
              <w:spacing w:line="218" w:lineRule="auto"/>
              <w:ind w:left="114"/>
            </w:pPr>
            <w:r>
              <w:rPr>
                <w:spacing w:val="-1"/>
              </w:rPr>
              <w:t>(4)提供行业经营许可证的得1分，否则不得分。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  <w:jc w:val="center"/>
        </w:trPr>
        <w:tc>
          <w:tcPr>
            <w:tcW w:w="13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20" w:lineRule="auto"/>
              <w:ind w:left="231"/>
            </w:pPr>
            <w:r>
              <w:rPr>
                <w:spacing w:val="-2"/>
              </w:rPr>
              <w:t>业绩情况</w:t>
            </w:r>
          </w:p>
          <w:p>
            <w:pPr>
              <w:pStyle w:val="5"/>
              <w:spacing w:before="12" w:line="220" w:lineRule="auto"/>
              <w:ind w:left="361"/>
            </w:pPr>
            <w:r>
              <w:rPr>
                <w:spacing w:val="10"/>
              </w:rPr>
              <w:t>(10分)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13" w:line="214" w:lineRule="auto"/>
              <w:ind w:left="114"/>
            </w:pPr>
            <w:r>
              <w:t>意向承租人提供近3年内(自2021年8月1日至2024年7</w:t>
            </w:r>
          </w:p>
          <w:p>
            <w:pPr>
              <w:pStyle w:val="5"/>
              <w:spacing w:line="199" w:lineRule="auto"/>
              <w:ind w:left="114" w:right="20"/>
            </w:pPr>
            <w:r>
              <w:rPr>
                <w:spacing w:val="-1"/>
              </w:rPr>
              <w:t>月31日)综合业态经营管理业绩案例。每提供一个合格业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绩得2分，最多得10分。</w:t>
            </w:r>
          </w:p>
          <w:p>
            <w:pPr>
              <w:pStyle w:val="5"/>
              <w:spacing w:before="3" w:line="215" w:lineRule="auto"/>
              <w:ind w:left="113" w:hanging="75"/>
              <w:jc w:val="both"/>
            </w:pPr>
            <w:r>
              <w:rPr>
                <w:spacing w:val="-2"/>
              </w:rPr>
              <w:t>【注：合同以签订日期为准，承租人需提供合同复印件关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键页(包括合同首页、合同盖章页及显示项目内容的相关</w:t>
            </w:r>
            <w:r>
              <w:rPr>
                <w:spacing w:val="15"/>
              </w:rPr>
              <w:t xml:space="preserve"> </w:t>
            </w:r>
            <w:r>
              <w:t>页)并在会议上进行案例展示，并加盖承租人单位公章，</w:t>
            </w:r>
          </w:p>
          <w:p>
            <w:pPr>
              <w:pStyle w:val="5"/>
              <w:spacing w:line="219" w:lineRule="auto"/>
              <w:ind w:left="117"/>
            </w:pPr>
            <w:r>
              <w:rPr>
                <w:b/>
                <w:bCs/>
                <w:spacing w:val="8"/>
              </w:rPr>
              <w:t>否则相关内容不得分。】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  <w:jc w:val="center"/>
        </w:trPr>
        <w:tc>
          <w:tcPr>
            <w:tcW w:w="13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17" w:lineRule="auto"/>
              <w:ind w:left="481" w:right="237" w:hanging="250"/>
            </w:pPr>
            <w:r>
              <w:rPr>
                <w:spacing w:val="2"/>
              </w:rPr>
              <w:t>现场讲解</w:t>
            </w:r>
            <w:r>
              <w:t xml:space="preserve"> </w:t>
            </w:r>
            <w:r>
              <w:rPr>
                <w:spacing w:val="5"/>
              </w:rPr>
              <w:t>情况</w:t>
            </w:r>
          </w:p>
          <w:p>
            <w:pPr>
              <w:pStyle w:val="5"/>
              <w:spacing w:before="12" w:line="220" w:lineRule="auto"/>
              <w:ind w:left="421"/>
            </w:pPr>
            <w:r>
              <w:rPr>
                <w:spacing w:val="12"/>
              </w:rPr>
              <w:t>(5分)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26" w:line="203" w:lineRule="auto"/>
              <w:ind w:left="113" w:hanging="9"/>
            </w:pPr>
            <w:r>
              <w:rPr>
                <w:spacing w:val="-5"/>
              </w:rPr>
              <w:t>意向承租人针对本项目未来经营方向及策略进行讲解，根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据讲解情况进行综合评价。</w:t>
            </w:r>
          </w:p>
          <w:p>
            <w:pPr>
              <w:pStyle w:val="5"/>
              <w:spacing w:before="1" w:line="210" w:lineRule="auto"/>
              <w:ind w:left="114" w:firstLine="79"/>
            </w:pPr>
            <w:r>
              <w:rPr>
                <w:spacing w:val="-3"/>
              </w:rPr>
              <w:t>(1)项目分析透彻、完整度高、合理性强、可执行性强得</w:t>
            </w:r>
            <w:r>
              <w:rPr>
                <w:spacing w:val="2"/>
              </w:rPr>
              <w:t xml:space="preserve"> </w:t>
            </w:r>
            <w:r>
              <w:t>(3,5)分</w:t>
            </w:r>
          </w:p>
          <w:p>
            <w:pPr>
              <w:pStyle w:val="5"/>
              <w:spacing w:line="203" w:lineRule="auto"/>
              <w:ind w:left="114"/>
            </w:pPr>
            <w:r>
              <w:t>(2)项目分析程度一般、完整度一般、合理性一般、可执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行性一般得(1,3)分；</w:t>
            </w:r>
          </w:p>
          <w:p>
            <w:pPr>
              <w:pStyle w:val="5"/>
              <w:spacing w:before="1" w:line="217" w:lineRule="auto"/>
              <w:ind w:left="114"/>
            </w:pPr>
            <w:r>
              <w:t>(3)项目分析较差、完整度较差、可行性较差、可执行性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较差得(0,1)分。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  <w:jc w:val="center"/>
        </w:trPr>
        <w:tc>
          <w:tcPr>
            <w:tcW w:w="13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2" w:line="219" w:lineRule="auto"/>
              <w:ind w:left="231"/>
            </w:pPr>
            <w:r>
              <w:rPr>
                <w:spacing w:val="2"/>
              </w:rPr>
              <w:t>升级改造</w:t>
            </w:r>
          </w:p>
          <w:p>
            <w:pPr>
              <w:pStyle w:val="5"/>
              <w:spacing w:before="3" w:line="220" w:lineRule="auto"/>
              <w:ind w:left="482"/>
            </w:pPr>
            <w:r>
              <w:rPr>
                <w:spacing w:val="6"/>
              </w:rPr>
              <w:t>方案</w:t>
            </w:r>
          </w:p>
          <w:p>
            <w:pPr>
              <w:pStyle w:val="5"/>
              <w:spacing w:before="2" w:line="220" w:lineRule="auto"/>
              <w:ind w:left="361"/>
            </w:pPr>
            <w:r>
              <w:rPr>
                <w:spacing w:val="10"/>
              </w:rPr>
              <w:t>(20分)</w:t>
            </w:r>
          </w:p>
        </w:tc>
        <w:tc>
          <w:tcPr>
            <w:tcW w:w="6254" w:type="dxa"/>
            <w:vAlign w:val="top"/>
          </w:tcPr>
          <w:p>
            <w:pPr>
              <w:pStyle w:val="5"/>
              <w:spacing w:before="115" w:line="204" w:lineRule="auto"/>
              <w:ind w:left="114"/>
              <w:jc w:val="both"/>
            </w:pPr>
            <w:r>
              <w:rPr>
                <w:spacing w:val="-5"/>
              </w:rPr>
              <w:t>意向承租人提供并讲解本项目升级改造方案，同时提供升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级改造项目清单(格式自拟，包括升级改造项目及费用估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算)。</w:t>
            </w:r>
          </w:p>
          <w:p>
            <w:pPr>
              <w:pStyle w:val="5"/>
              <w:spacing w:line="214" w:lineRule="auto"/>
              <w:ind w:left="114" w:firstLine="59"/>
            </w:pPr>
            <w:r>
              <w:rPr>
                <w:spacing w:val="-2"/>
              </w:rPr>
              <w:t>(1)升级改造方案合理性、全面性、可实现性强。得(14,</w:t>
            </w:r>
            <w:r>
              <w:t xml:space="preserve"> </w:t>
            </w:r>
            <w:r>
              <w:rPr>
                <w:spacing w:val="21"/>
              </w:rPr>
              <w:t>20]分；</w:t>
            </w:r>
          </w:p>
          <w:p>
            <w:pPr>
              <w:pStyle w:val="5"/>
              <w:spacing w:before="2" w:line="217" w:lineRule="auto"/>
              <w:ind w:left="114" w:firstLine="59"/>
            </w:pPr>
            <w:r>
              <w:rPr>
                <w:spacing w:val="2"/>
              </w:rPr>
              <w:t>(2)升级改造方案合理性、全面性、可实现性一般得(8,</w:t>
            </w:r>
            <w:r>
              <w:rPr>
                <w:spacing w:val="15"/>
              </w:rPr>
              <w:t xml:space="preserve"> </w:t>
            </w:r>
            <w:r>
              <w:rPr>
                <w:spacing w:val="23"/>
              </w:rPr>
              <w:t>14]分；</w:t>
            </w:r>
          </w:p>
          <w:p>
            <w:pPr>
              <w:pStyle w:val="5"/>
              <w:spacing w:line="215" w:lineRule="auto"/>
              <w:ind w:left="114" w:firstLine="59"/>
            </w:pPr>
            <w:r>
              <w:rPr>
                <w:spacing w:val="2"/>
              </w:rPr>
              <w:t>(3)升级改造方案合理性、全面性、可实现性较差得(3,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8]分。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  <w:jc w:val="center"/>
        </w:trPr>
        <w:tc>
          <w:tcPr>
            <w:tcW w:w="10029" w:type="dxa"/>
            <w:gridSpan w:val="4"/>
            <w:vAlign w:val="top"/>
          </w:tcPr>
          <w:p>
            <w:pPr>
              <w:pStyle w:val="5"/>
              <w:spacing w:before="135" w:line="224" w:lineRule="auto"/>
              <w:ind w:left="575"/>
            </w:pPr>
            <w:r>
              <w:rPr>
                <w:spacing w:val="-5"/>
              </w:rPr>
              <w:t>注</w:t>
            </w:r>
            <w:r>
              <w:rPr>
                <w:spacing w:val="-63"/>
              </w:rPr>
              <w:t xml:space="preserve"> </w:t>
            </w:r>
            <w:r>
              <w:rPr>
                <w:spacing w:val="-5"/>
              </w:rPr>
              <w:t>：</w:t>
            </w:r>
          </w:p>
          <w:p>
            <w:pPr>
              <w:pStyle w:val="5"/>
              <w:spacing w:before="1" w:line="218" w:lineRule="auto"/>
              <w:jc w:val="right"/>
            </w:pPr>
            <w:r>
              <w:rPr>
                <w:spacing w:val="-4"/>
              </w:rPr>
              <w:t>1、评分办法中，标记“(”、“)”代指不包含</w:t>
            </w:r>
            <w:r>
              <w:rPr>
                <w:spacing w:val="-5"/>
              </w:rPr>
              <w:t>本数，标记“[”、“]”代指包含本数。</w:t>
            </w:r>
          </w:p>
          <w:p>
            <w:pPr>
              <w:pStyle w:val="5"/>
              <w:spacing w:before="5" w:line="219" w:lineRule="auto"/>
              <w:ind w:left="575"/>
            </w:pPr>
            <w:r>
              <w:t>2、总得分值计算保留小数点后两位，小数点后第三位“四舍五入”。</w:t>
            </w:r>
          </w:p>
          <w:p>
            <w:pPr>
              <w:pStyle w:val="5"/>
              <w:spacing w:before="3" w:line="219" w:lineRule="auto"/>
              <w:ind w:left="575"/>
            </w:pPr>
            <w:r>
              <w:rPr>
                <w:spacing w:val="1"/>
              </w:rPr>
              <w:t>3、最小打分单元为0.1分。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NGY1ZGNhNjBjNWFmYmQ4ZGQwMDdhY2Q2NTkwMGQifQ=="/>
  </w:docVars>
  <w:rsids>
    <w:rsidRoot w:val="00000000"/>
    <w:rsid w:val="0050769B"/>
    <w:rsid w:val="005A42C8"/>
    <w:rsid w:val="00956E19"/>
    <w:rsid w:val="00E45B4C"/>
    <w:rsid w:val="00E74858"/>
    <w:rsid w:val="023A2F97"/>
    <w:rsid w:val="02435283"/>
    <w:rsid w:val="03386096"/>
    <w:rsid w:val="03644385"/>
    <w:rsid w:val="03E275DE"/>
    <w:rsid w:val="041D681E"/>
    <w:rsid w:val="04223D03"/>
    <w:rsid w:val="047D5873"/>
    <w:rsid w:val="04AF2F4A"/>
    <w:rsid w:val="05304D84"/>
    <w:rsid w:val="05985796"/>
    <w:rsid w:val="05BF2250"/>
    <w:rsid w:val="06173C7E"/>
    <w:rsid w:val="062A6573"/>
    <w:rsid w:val="068A0F5F"/>
    <w:rsid w:val="07241D2A"/>
    <w:rsid w:val="07287078"/>
    <w:rsid w:val="078066C1"/>
    <w:rsid w:val="078E7173"/>
    <w:rsid w:val="08080CAA"/>
    <w:rsid w:val="08806DEC"/>
    <w:rsid w:val="08C77CFB"/>
    <w:rsid w:val="08EC75F5"/>
    <w:rsid w:val="08F673D9"/>
    <w:rsid w:val="092E2A4E"/>
    <w:rsid w:val="09CE5826"/>
    <w:rsid w:val="0B1336AA"/>
    <w:rsid w:val="0BEF721A"/>
    <w:rsid w:val="0C89386F"/>
    <w:rsid w:val="0C917B71"/>
    <w:rsid w:val="0D2A4906"/>
    <w:rsid w:val="0D904F45"/>
    <w:rsid w:val="0E2A6B9D"/>
    <w:rsid w:val="0E67608B"/>
    <w:rsid w:val="0F7D289C"/>
    <w:rsid w:val="0F9B6785"/>
    <w:rsid w:val="0FC7697A"/>
    <w:rsid w:val="10924BF4"/>
    <w:rsid w:val="10C811ED"/>
    <w:rsid w:val="11BA29CE"/>
    <w:rsid w:val="123269AF"/>
    <w:rsid w:val="141B5E60"/>
    <w:rsid w:val="15934584"/>
    <w:rsid w:val="15C66E39"/>
    <w:rsid w:val="160F790B"/>
    <w:rsid w:val="16165FC4"/>
    <w:rsid w:val="16A906E2"/>
    <w:rsid w:val="16E02ABC"/>
    <w:rsid w:val="16EB50E8"/>
    <w:rsid w:val="1845322B"/>
    <w:rsid w:val="1885424B"/>
    <w:rsid w:val="195F5265"/>
    <w:rsid w:val="1A1832C8"/>
    <w:rsid w:val="1ADA7905"/>
    <w:rsid w:val="1AE0467B"/>
    <w:rsid w:val="1B230D91"/>
    <w:rsid w:val="1BE00E8B"/>
    <w:rsid w:val="1BEB3167"/>
    <w:rsid w:val="1C535653"/>
    <w:rsid w:val="1DF057A6"/>
    <w:rsid w:val="1EF83F09"/>
    <w:rsid w:val="20E946A0"/>
    <w:rsid w:val="211D0576"/>
    <w:rsid w:val="212A421E"/>
    <w:rsid w:val="22493786"/>
    <w:rsid w:val="23314D31"/>
    <w:rsid w:val="23524E61"/>
    <w:rsid w:val="23B324D4"/>
    <w:rsid w:val="24B458B4"/>
    <w:rsid w:val="269C2739"/>
    <w:rsid w:val="27101C3A"/>
    <w:rsid w:val="271240BB"/>
    <w:rsid w:val="272D7F48"/>
    <w:rsid w:val="27BA4558"/>
    <w:rsid w:val="28613273"/>
    <w:rsid w:val="28E31B1B"/>
    <w:rsid w:val="298B4DDD"/>
    <w:rsid w:val="2A7A17F0"/>
    <w:rsid w:val="2AB57C08"/>
    <w:rsid w:val="2B5A5FBA"/>
    <w:rsid w:val="2B7D57FE"/>
    <w:rsid w:val="2B951DE9"/>
    <w:rsid w:val="2C1D527B"/>
    <w:rsid w:val="2C993759"/>
    <w:rsid w:val="2DE90D74"/>
    <w:rsid w:val="2E896886"/>
    <w:rsid w:val="2FA805CE"/>
    <w:rsid w:val="30123B20"/>
    <w:rsid w:val="308C292F"/>
    <w:rsid w:val="315501AB"/>
    <w:rsid w:val="31A207A8"/>
    <w:rsid w:val="326243F5"/>
    <w:rsid w:val="32C96F02"/>
    <w:rsid w:val="32E528C6"/>
    <w:rsid w:val="33577FFE"/>
    <w:rsid w:val="34EB5F9C"/>
    <w:rsid w:val="367C20FC"/>
    <w:rsid w:val="37235FA8"/>
    <w:rsid w:val="37F87FED"/>
    <w:rsid w:val="380A0628"/>
    <w:rsid w:val="384670E9"/>
    <w:rsid w:val="38A77E01"/>
    <w:rsid w:val="38B041CB"/>
    <w:rsid w:val="391C3384"/>
    <w:rsid w:val="3A0D2D1C"/>
    <w:rsid w:val="3B001FFB"/>
    <w:rsid w:val="3C5C2190"/>
    <w:rsid w:val="3CC81CF6"/>
    <w:rsid w:val="3CDD707B"/>
    <w:rsid w:val="3CDE1C33"/>
    <w:rsid w:val="3D302BB0"/>
    <w:rsid w:val="3F3F46E1"/>
    <w:rsid w:val="40D5132A"/>
    <w:rsid w:val="41A15BC2"/>
    <w:rsid w:val="42104111"/>
    <w:rsid w:val="428E1746"/>
    <w:rsid w:val="42DF739D"/>
    <w:rsid w:val="438344AF"/>
    <w:rsid w:val="43A53BEC"/>
    <w:rsid w:val="43B34878"/>
    <w:rsid w:val="44144D1A"/>
    <w:rsid w:val="441E62DA"/>
    <w:rsid w:val="448C5B79"/>
    <w:rsid w:val="45800149"/>
    <w:rsid w:val="45B749DC"/>
    <w:rsid w:val="461049B7"/>
    <w:rsid w:val="46135E75"/>
    <w:rsid w:val="46ED1772"/>
    <w:rsid w:val="47413394"/>
    <w:rsid w:val="4867534F"/>
    <w:rsid w:val="48B46C3C"/>
    <w:rsid w:val="48BE0B37"/>
    <w:rsid w:val="48E60E62"/>
    <w:rsid w:val="498A6740"/>
    <w:rsid w:val="4A281FD3"/>
    <w:rsid w:val="4B7B0AEA"/>
    <w:rsid w:val="4BD02C54"/>
    <w:rsid w:val="4C2001E7"/>
    <w:rsid w:val="4D255DD6"/>
    <w:rsid w:val="4D535BB6"/>
    <w:rsid w:val="4D5823AB"/>
    <w:rsid w:val="4D953551"/>
    <w:rsid w:val="4DB577F5"/>
    <w:rsid w:val="4DB8480E"/>
    <w:rsid w:val="4DD92DEB"/>
    <w:rsid w:val="4E3A2C2D"/>
    <w:rsid w:val="4E653CD4"/>
    <w:rsid w:val="4E676924"/>
    <w:rsid w:val="4EB0409B"/>
    <w:rsid w:val="4F037568"/>
    <w:rsid w:val="4F744786"/>
    <w:rsid w:val="501A06A1"/>
    <w:rsid w:val="501E2311"/>
    <w:rsid w:val="507A3035"/>
    <w:rsid w:val="51CD320C"/>
    <w:rsid w:val="521D4556"/>
    <w:rsid w:val="535B49A4"/>
    <w:rsid w:val="53BE400F"/>
    <w:rsid w:val="53ED38E5"/>
    <w:rsid w:val="557703E5"/>
    <w:rsid w:val="559C5FA3"/>
    <w:rsid w:val="55CB7358"/>
    <w:rsid w:val="55F75907"/>
    <w:rsid w:val="564B6BDE"/>
    <w:rsid w:val="568B7EDE"/>
    <w:rsid w:val="56B446C4"/>
    <w:rsid w:val="575E03CC"/>
    <w:rsid w:val="581F4150"/>
    <w:rsid w:val="582F04A5"/>
    <w:rsid w:val="585E6371"/>
    <w:rsid w:val="592258A3"/>
    <w:rsid w:val="593D656F"/>
    <w:rsid w:val="59A12F25"/>
    <w:rsid w:val="5A5F5B7D"/>
    <w:rsid w:val="5A6C5B93"/>
    <w:rsid w:val="5B437E83"/>
    <w:rsid w:val="5BB02097"/>
    <w:rsid w:val="5C76209B"/>
    <w:rsid w:val="5C9107BE"/>
    <w:rsid w:val="5D445638"/>
    <w:rsid w:val="5D7507E6"/>
    <w:rsid w:val="5DFA00C4"/>
    <w:rsid w:val="5E046482"/>
    <w:rsid w:val="5E2465C0"/>
    <w:rsid w:val="5ED27988"/>
    <w:rsid w:val="5F313EAD"/>
    <w:rsid w:val="5FA53A40"/>
    <w:rsid w:val="60313938"/>
    <w:rsid w:val="617404A5"/>
    <w:rsid w:val="61744509"/>
    <w:rsid w:val="61F86EC0"/>
    <w:rsid w:val="62A518A7"/>
    <w:rsid w:val="62B26F0D"/>
    <w:rsid w:val="64507294"/>
    <w:rsid w:val="649B5B43"/>
    <w:rsid w:val="649E034B"/>
    <w:rsid w:val="652178B3"/>
    <w:rsid w:val="65745D9A"/>
    <w:rsid w:val="65CF3D84"/>
    <w:rsid w:val="664D7B1D"/>
    <w:rsid w:val="66595ABC"/>
    <w:rsid w:val="66CB3926"/>
    <w:rsid w:val="66E401D4"/>
    <w:rsid w:val="6735737C"/>
    <w:rsid w:val="68283852"/>
    <w:rsid w:val="6894007C"/>
    <w:rsid w:val="68A30585"/>
    <w:rsid w:val="68C90F35"/>
    <w:rsid w:val="69702175"/>
    <w:rsid w:val="698275AA"/>
    <w:rsid w:val="6A2A1469"/>
    <w:rsid w:val="6A830948"/>
    <w:rsid w:val="6A9A38F8"/>
    <w:rsid w:val="6ABD0DAF"/>
    <w:rsid w:val="6BA8646B"/>
    <w:rsid w:val="6C8D09F6"/>
    <w:rsid w:val="6CE73DE9"/>
    <w:rsid w:val="6CF1290D"/>
    <w:rsid w:val="6D506781"/>
    <w:rsid w:val="6EFC106F"/>
    <w:rsid w:val="6F597F5D"/>
    <w:rsid w:val="703E3828"/>
    <w:rsid w:val="70C739E1"/>
    <w:rsid w:val="71C857CA"/>
    <w:rsid w:val="73616D06"/>
    <w:rsid w:val="73F217C5"/>
    <w:rsid w:val="7416299A"/>
    <w:rsid w:val="75126B2C"/>
    <w:rsid w:val="755232FF"/>
    <w:rsid w:val="757F6881"/>
    <w:rsid w:val="758F1AF5"/>
    <w:rsid w:val="75A853CC"/>
    <w:rsid w:val="75BC0272"/>
    <w:rsid w:val="7700761E"/>
    <w:rsid w:val="77050561"/>
    <w:rsid w:val="774B67A0"/>
    <w:rsid w:val="77706AF2"/>
    <w:rsid w:val="78210863"/>
    <w:rsid w:val="78867A8A"/>
    <w:rsid w:val="794F37A5"/>
    <w:rsid w:val="7AE030B3"/>
    <w:rsid w:val="7AF41E80"/>
    <w:rsid w:val="7B5E3C1B"/>
    <w:rsid w:val="7C583964"/>
    <w:rsid w:val="7DF84A40"/>
    <w:rsid w:val="7E1D1A8E"/>
    <w:rsid w:val="7EEA5D96"/>
    <w:rsid w:val="7EEB763F"/>
    <w:rsid w:val="7F0A161B"/>
    <w:rsid w:val="7F0F41E7"/>
    <w:rsid w:val="7FED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2024-06-03T04:38:00Z</dcterms:created>
  <dc:creator>user</dc:creator>
  <cp:lastModifiedBy>王枢亨</cp:lastModifiedBy>
  <dcterms:modified xsi:type="dcterms:W3CDTF">2024-08-22T04:53:49Z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617D7C4F712049A5B2592000A8AE804A_12</vt:lpwstr>
  </property>
</Properties>
</file>